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C9845F">
      <w:pPr>
        <w:spacing w:line="300" w:lineRule="auto"/>
        <w:jc w:val="center"/>
        <w:rPr>
          <w:rFonts w:ascii="Times New Roman" w:hAnsi="Times New Roman" w:eastAsia="方正小标宋_GBK"/>
          <w:bCs/>
          <w:sz w:val="28"/>
        </w:rPr>
      </w:pPr>
      <w:bookmarkStart w:id="0" w:name="_GoBack"/>
      <w:bookmarkEnd w:id="0"/>
      <w:r>
        <w:rPr>
          <w:rFonts w:hint="eastAsia" w:ascii="Times New Roman" w:hAnsi="Times New Roman" w:eastAsia="方正小标宋_GBK"/>
          <w:bCs/>
          <w:sz w:val="28"/>
        </w:rPr>
        <w:t>2025统计与数据科学学院劳动实践课包干区域划分表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"/>
        <w:gridCol w:w="5104"/>
        <w:gridCol w:w="2310"/>
      </w:tblGrid>
      <w:tr w14:paraId="592EA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882" w:type="dxa"/>
          </w:tcPr>
          <w:p w14:paraId="4580523C">
            <w:pPr>
              <w:spacing w:line="30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序号</w:t>
            </w:r>
          </w:p>
        </w:tc>
        <w:tc>
          <w:tcPr>
            <w:tcW w:w="5104" w:type="dxa"/>
          </w:tcPr>
          <w:p w14:paraId="15B553FC">
            <w:pPr>
              <w:spacing w:line="30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包干区域</w:t>
            </w:r>
          </w:p>
        </w:tc>
        <w:tc>
          <w:tcPr>
            <w:tcW w:w="2310" w:type="dxa"/>
          </w:tcPr>
          <w:p w14:paraId="44A8BD88">
            <w:pPr>
              <w:spacing w:line="30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负责班级</w:t>
            </w:r>
          </w:p>
        </w:tc>
      </w:tr>
      <w:tr w14:paraId="75870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82" w:type="dxa"/>
          </w:tcPr>
          <w:p w14:paraId="15DCEFB1">
            <w:pPr>
              <w:spacing w:line="30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= 1  \* MERGEFORMAT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5104" w:type="dxa"/>
          </w:tcPr>
          <w:p w14:paraId="02618B25">
            <w:pPr>
              <w:spacing w:line="30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致远楼南侧小广场、西侧道路及绿化带</w:t>
            </w:r>
          </w:p>
        </w:tc>
        <w:tc>
          <w:tcPr>
            <w:tcW w:w="2310" w:type="dxa"/>
          </w:tcPr>
          <w:p w14:paraId="1AF4D5FF">
            <w:pPr>
              <w:spacing w:line="30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25级经济统计1班</w:t>
            </w:r>
          </w:p>
        </w:tc>
      </w:tr>
      <w:tr w14:paraId="797055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82" w:type="dxa"/>
            <w:vAlign w:val="center"/>
          </w:tcPr>
          <w:p w14:paraId="5D388042">
            <w:pPr>
              <w:spacing w:line="30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104" w:type="dxa"/>
            <w:vAlign w:val="center"/>
          </w:tcPr>
          <w:p w14:paraId="491944FD">
            <w:pPr>
              <w:spacing w:line="30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致远楼北侧广场及绿化带</w:t>
            </w:r>
          </w:p>
        </w:tc>
        <w:tc>
          <w:tcPr>
            <w:tcW w:w="2310" w:type="dxa"/>
            <w:vAlign w:val="center"/>
          </w:tcPr>
          <w:p w14:paraId="7A423D91">
            <w:pPr>
              <w:spacing w:line="30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25级经济统计2班</w:t>
            </w:r>
          </w:p>
        </w:tc>
      </w:tr>
      <w:tr w14:paraId="66A10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82" w:type="dxa"/>
            <w:vAlign w:val="center"/>
          </w:tcPr>
          <w:p w14:paraId="40638727">
            <w:pPr>
              <w:spacing w:line="30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5104" w:type="dxa"/>
            <w:vAlign w:val="center"/>
          </w:tcPr>
          <w:p w14:paraId="28AF7556">
            <w:pPr>
              <w:spacing w:line="30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沁园工程实验室模型广场</w:t>
            </w:r>
          </w:p>
        </w:tc>
        <w:tc>
          <w:tcPr>
            <w:tcW w:w="2310" w:type="dxa"/>
            <w:vAlign w:val="center"/>
          </w:tcPr>
          <w:p w14:paraId="14CBB187">
            <w:pPr>
              <w:spacing w:line="30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25级数据科学班</w:t>
            </w:r>
          </w:p>
        </w:tc>
      </w:tr>
      <w:tr w14:paraId="04204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82" w:type="dxa"/>
            <w:vAlign w:val="center"/>
          </w:tcPr>
          <w:p w14:paraId="7F559A06">
            <w:pPr>
              <w:spacing w:line="30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5104" w:type="dxa"/>
            <w:vAlign w:val="center"/>
          </w:tcPr>
          <w:p w14:paraId="458022C0">
            <w:pPr>
              <w:spacing w:line="30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沁园体育馆南侧主干道、停车场及绿化带</w:t>
            </w:r>
            <w:r>
              <w:rPr>
                <w:rFonts w:hint="eastAsia" w:ascii="Times New Roman" w:hAnsi="Times New Roman"/>
                <w:sz w:val="24"/>
              </w:rPr>
              <w:t>（</w:t>
            </w:r>
            <w:r>
              <w:rPr>
                <w:rFonts w:ascii="Times New Roman" w:hAnsi="Times New Roman"/>
                <w:sz w:val="24"/>
              </w:rPr>
              <w:t>含停车场南侧草坪</w:t>
            </w:r>
            <w:r>
              <w:rPr>
                <w:rFonts w:hint="eastAsia" w:ascii="Times New Roman" w:hAnsi="Times New Roman"/>
                <w:sz w:val="24"/>
              </w:rPr>
              <w:t>）</w:t>
            </w:r>
          </w:p>
        </w:tc>
        <w:tc>
          <w:tcPr>
            <w:tcW w:w="2310" w:type="dxa"/>
            <w:vAlign w:val="center"/>
          </w:tcPr>
          <w:p w14:paraId="2556E8BF">
            <w:pPr>
              <w:spacing w:line="30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25级统计班</w:t>
            </w:r>
          </w:p>
        </w:tc>
      </w:tr>
      <w:tr w14:paraId="21BC0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82" w:type="dxa"/>
            <w:vAlign w:val="center"/>
          </w:tcPr>
          <w:p w14:paraId="38294D43">
            <w:pPr>
              <w:spacing w:line="30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5104" w:type="dxa"/>
            <w:vAlign w:val="center"/>
          </w:tcPr>
          <w:p w14:paraId="18525BAF">
            <w:pPr>
              <w:spacing w:line="30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沁园体育馆周围道路及绿化带</w:t>
            </w:r>
          </w:p>
        </w:tc>
        <w:tc>
          <w:tcPr>
            <w:tcW w:w="2310" w:type="dxa"/>
            <w:vAlign w:val="center"/>
          </w:tcPr>
          <w:p w14:paraId="32B160FA">
            <w:pPr>
              <w:spacing w:line="30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24级经济统计2班</w:t>
            </w:r>
          </w:p>
        </w:tc>
      </w:tr>
      <w:tr w14:paraId="1205A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82" w:type="dxa"/>
            <w:vAlign w:val="center"/>
          </w:tcPr>
          <w:p w14:paraId="79631148">
            <w:pPr>
              <w:spacing w:line="30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5104" w:type="dxa"/>
            <w:vAlign w:val="center"/>
          </w:tcPr>
          <w:p w14:paraId="49E5C923">
            <w:pPr>
              <w:spacing w:line="30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沁园金培中心南侧主干道及绿化带</w:t>
            </w:r>
          </w:p>
        </w:tc>
        <w:tc>
          <w:tcPr>
            <w:tcW w:w="2310" w:type="dxa"/>
            <w:vAlign w:val="center"/>
          </w:tcPr>
          <w:p w14:paraId="16042E61">
            <w:pPr>
              <w:spacing w:line="30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24级数据科学班</w:t>
            </w:r>
          </w:p>
        </w:tc>
      </w:tr>
      <w:tr w14:paraId="7D0CF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82" w:type="dxa"/>
            <w:vAlign w:val="center"/>
          </w:tcPr>
          <w:p w14:paraId="6993081E">
            <w:pPr>
              <w:spacing w:line="30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5104" w:type="dxa"/>
            <w:vAlign w:val="center"/>
          </w:tcPr>
          <w:p w14:paraId="42A79BC7">
            <w:pPr>
              <w:spacing w:line="30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沁园书院内道路及绿化带</w:t>
            </w:r>
          </w:p>
        </w:tc>
        <w:tc>
          <w:tcPr>
            <w:tcW w:w="2310" w:type="dxa"/>
            <w:vAlign w:val="center"/>
          </w:tcPr>
          <w:p w14:paraId="160D3D65">
            <w:pPr>
              <w:spacing w:line="30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24级统计班</w:t>
            </w:r>
          </w:p>
        </w:tc>
      </w:tr>
      <w:tr w14:paraId="4B161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82" w:type="dxa"/>
            <w:vAlign w:val="center"/>
          </w:tcPr>
          <w:p w14:paraId="1957FD71">
            <w:pPr>
              <w:spacing w:line="30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5104" w:type="dxa"/>
            <w:shd w:val="clear" w:color="auto" w:fill="auto"/>
            <w:vAlign w:val="center"/>
          </w:tcPr>
          <w:p w14:paraId="40A8528C">
            <w:pPr>
              <w:spacing w:line="30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沁园8幢楼院内道路及绿化带</w:t>
            </w:r>
          </w:p>
        </w:tc>
        <w:tc>
          <w:tcPr>
            <w:tcW w:w="2310" w:type="dxa"/>
            <w:vAlign w:val="center"/>
          </w:tcPr>
          <w:p w14:paraId="3CF82AAA">
            <w:pPr>
              <w:spacing w:line="30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24级经济统计1班</w:t>
            </w:r>
          </w:p>
        </w:tc>
      </w:tr>
    </w:tbl>
    <w:p w14:paraId="4AAB6CA7">
      <w:pPr>
        <w:spacing w:line="300" w:lineRule="auto"/>
        <w:rPr>
          <w:rFonts w:ascii="Times New Roman" w:hAnsi="Times New Roman"/>
          <w:b/>
          <w:bCs/>
          <w:sz w:val="24"/>
        </w:rPr>
      </w:pPr>
      <w:r>
        <w:rPr>
          <w:rFonts w:hint="eastAsia" w:ascii="Times New Roman" w:hAnsi="Times New Roman"/>
          <w:b/>
          <w:bCs/>
          <w:sz w:val="24"/>
        </w:rPr>
        <w:t>即下图中“沁园劳动教育实践区域”序号5</w:t>
      </w:r>
      <w:r>
        <w:rPr>
          <w:rFonts w:ascii="Times New Roman" w:hAnsi="Times New Roman"/>
          <w:b/>
          <w:bCs/>
          <w:sz w:val="24"/>
        </w:rPr>
        <w:t>-12</w:t>
      </w:r>
    </w:p>
    <w:p w14:paraId="63F986F2">
      <w:pPr>
        <w:spacing w:line="30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drawing>
          <wp:inline distT="0" distB="0" distL="0" distR="0">
            <wp:extent cx="5274310" cy="3462020"/>
            <wp:effectExtent l="0" t="0" r="2540" b="508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6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CAD914">
      <w:pPr>
        <w:spacing w:line="300" w:lineRule="auto"/>
        <w:rPr>
          <w:rFonts w:ascii="Times New Roman" w:hAnsi="Times New Roman"/>
          <w:b/>
          <w:bCs/>
          <w:sz w:val="24"/>
        </w:rPr>
      </w:pPr>
      <w:r>
        <w:rPr>
          <w:rFonts w:hint="eastAsia" w:ascii="Times New Roman" w:hAnsi="Times New Roman"/>
          <w:b/>
          <w:bCs/>
          <w:sz w:val="24"/>
        </w:rPr>
        <w:t>场地分布说明：</w:t>
      </w:r>
    </w:p>
    <w:p w14:paraId="193F7C8A">
      <w:pPr>
        <w:spacing w:line="300" w:lineRule="auto"/>
        <w:ind w:firstLine="480" w:firstLineChars="200"/>
        <w:jc w:val="left"/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1.</w:t>
      </w:r>
      <w:r>
        <w:rPr>
          <w:rFonts w:ascii="Times New Roman" w:hAnsi="Times New Roman"/>
          <w:sz w:val="24"/>
        </w:rPr>
        <w:t>致远楼从楼梯下来往小门方向走，左侧楼后的小广场以及对面所在的主干道区域</w:t>
      </w:r>
      <w:r>
        <w:rPr>
          <w:rFonts w:hint="eastAsia" w:ascii="Times New Roman" w:hAnsi="Times New Roman"/>
          <w:sz w:val="24"/>
        </w:rPr>
        <w:t>；</w:t>
      </w:r>
    </w:p>
    <w:p w14:paraId="134C4C47">
      <w:pPr>
        <w:spacing w:line="300" w:lineRule="auto"/>
        <w:ind w:firstLine="480" w:firstLineChars="200"/>
        <w:jc w:val="left"/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2.</w:t>
      </w:r>
      <w:r>
        <w:rPr>
          <w:rFonts w:ascii="Times New Roman" w:hAnsi="Times New Roman"/>
          <w:sz w:val="24"/>
        </w:rPr>
        <w:t>致远楼楼梯下来</w:t>
      </w:r>
      <w:r>
        <w:rPr>
          <w:rFonts w:hint="eastAsia" w:ascii="Times New Roman" w:hAnsi="Times New Roman"/>
          <w:sz w:val="24"/>
        </w:rPr>
        <w:t>的</w:t>
      </w:r>
      <w:r>
        <w:rPr>
          <w:rFonts w:ascii="Times New Roman" w:hAnsi="Times New Roman"/>
          <w:sz w:val="24"/>
        </w:rPr>
        <w:t>一片广场区域及绿化带</w:t>
      </w:r>
      <w:r>
        <w:rPr>
          <w:rFonts w:hint="eastAsia" w:ascii="Times New Roman" w:hAnsi="Times New Roman"/>
          <w:sz w:val="24"/>
        </w:rPr>
        <w:t>；</w:t>
      </w:r>
    </w:p>
    <w:p w14:paraId="527B2074">
      <w:pPr>
        <w:spacing w:line="300" w:lineRule="auto"/>
        <w:ind w:firstLine="480" w:firstLineChars="200"/>
        <w:jc w:val="left"/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3.</w:t>
      </w:r>
      <w:r>
        <w:rPr>
          <w:rFonts w:ascii="Times New Roman" w:hAnsi="Times New Roman"/>
          <w:sz w:val="24"/>
        </w:rPr>
        <w:t>致远楼楼梯下来往沁园小门方向走，右手边“工程审计学院实验教学中心”处</w:t>
      </w:r>
      <w:r>
        <w:rPr>
          <w:rFonts w:hint="eastAsia" w:ascii="Times New Roman" w:hAnsi="Times New Roman"/>
          <w:sz w:val="24"/>
        </w:rPr>
        <w:t>；</w:t>
      </w:r>
    </w:p>
    <w:p w14:paraId="3DFA5620">
      <w:pPr>
        <w:spacing w:line="300" w:lineRule="auto"/>
        <w:ind w:firstLine="480" w:firstLineChars="200"/>
        <w:jc w:val="left"/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4.</w:t>
      </w:r>
      <w:r>
        <w:rPr>
          <w:rFonts w:ascii="Times New Roman" w:hAnsi="Times New Roman"/>
          <w:sz w:val="24"/>
        </w:rPr>
        <w:t>沁园体育馆对面的主干道，主干道上的停车场，主干道与体育馆之间的绿化带</w:t>
      </w:r>
      <w:r>
        <w:rPr>
          <w:rFonts w:hint="eastAsia" w:ascii="Times New Roman" w:hAnsi="Times New Roman"/>
          <w:sz w:val="24"/>
        </w:rPr>
        <w:t>；</w:t>
      </w:r>
    </w:p>
    <w:p w14:paraId="02B7FD4C">
      <w:pPr>
        <w:spacing w:line="300" w:lineRule="auto"/>
        <w:ind w:firstLine="480" w:firstLineChars="200"/>
        <w:jc w:val="left"/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5.</w:t>
      </w:r>
      <w:r>
        <w:rPr>
          <w:rFonts w:ascii="Times New Roman" w:hAnsi="Times New Roman"/>
          <w:sz w:val="24"/>
        </w:rPr>
        <w:t>沁园体育馆周围道路以及停车场往里的绿化带</w:t>
      </w:r>
      <w:r>
        <w:rPr>
          <w:rFonts w:hint="eastAsia" w:ascii="Times New Roman" w:hAnsi="Times New Roman"/>
          <w:sz w:val="24"/>
        </w:rPr>
        <w:t>；</w:t>
      </w:r>
    </w:p>
    <w:p w14:paraId="5D340DAC">
      <w:pPr>
        <w:spacing w:line="300" w:lineRule="auto"/>
        <w:ind w:firstLine="480" w:firstLineChars="200"/>
        <w:jc w:val="left"/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6.</w:t>
      </w:r>
      <w:r>
        <w:rPr>
          <w:rFonts w:ascii="Times New Roman" w:hAnsi="Times New Roman"/>
          <w:sz w:val="24"/>
        </w:rPr>
        <w:t>沁园餐厅往新宿舍方向走，在T字路口往右拐下来，看到金培中心，打扫金培中心对面的主干道已经金培中心与主干道之间的绿化带</w:t>
      </w:r>
      <w:r>
        <w:rPr>
          <w:rFonts w:hint="eastAsia" w:ascii="Times New Roman" w:hAnsi="Times New Roman"/>
          <w:sz w:val="24"/>
        </w:rPr>
        <w:t>；</w:t>
      </w:r>
    </w:p>
    <w:p w14:paraId="5462EAE1">
      <w:pPr>
        <w:spacing w:line="300" w:lineRule="auto"/>
        <w:ind w:firstLine="480" w:firstLineChars="200"/>
        <w:jc w:val="left"/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7.</w:t>
      </w:r>
      <w:r>
        <w:rPr>
          <w:rFonts w:ascii="Times New Roman" w:hAnsi="Times New Roman"/>
          <w:sz w:val="24"/>
        </w:rPr>
        <w:t>致远楼楼梯下来往右走，一直走到沁园书院标志处，打扫书院内道路及绿化带</w:t>
      </w:r>
      <w:r>
        <w:rPr>
          <w:rFonts w:hint="eastAsia" w:ascii="Times New Roman" w:hAnsi="Times New Roman"/>
          <w:sz w:val="24"/>
        </w:rPr>
        <w:t>；</w:t>
      </w:r>
    </w:p>
    <w:p w14:paraId="0076E74C">
      <w:pPr>
        <w:spacing w:line="300" w:lineRule="auto"/>
        <w:ind w:firstLine="480" w:firstLineChars="200"/>
        <w:jc w:val="left"/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8.</w:t>
      </w:r>
      <w:r>
        <w:rPr>
          <w:rFonts w:ascii="Times New Roman" w:hAnsi="Times New Roman"/>
          <w:sz w:val="24"/>
        </w:rPr>
        <w:t>沁园餐厅往前面新宿舍方向走，蓝色铁门处直走，第二排楼与第一排之间的区域</w:t>
      </w:r>
      <w:r>
        <w:rPr>
          <w:rFonts w:hint="eastAsia" w:ascii="Times New Roman" w:hAnsi="Times New Roman"/>
          <w:sz w:val="24"/>
        </w:rPr>
        <w:t>。</w:t>
      </w:r>
    </w:p>
    <w:p w14:paraId="0B707670">
      <w:pPr>
        <w:spacing w:line="300" w:lineRule="auto"/>
        <w:jc w:val="left"/>
        <w:rPr>
          <w:rFonts w:ascii="Times New Roman" w:hAnsi="Times New Roman"/>
          <w:sz w:val="24"/>
        </w:rPr>
      </w:pPr>
    </w:p>
    <w:p w14:paraId="0CE6EFD4">
      <w:pPr>
        <w:spacing w:line="300" w:lineRule="auto"/>
        <w:jc w:val="left"/>
        <w:rPr>
          <w:rFonts w:ascii="Times New Roman" w:hAnsi="Times New Roman"/>
          <w:b/>
          <w:bCs/>
          <w:sz w:val="24"/>
        </w:rPr>
      </w:pPr>
      <w:r>
        <w:rPr>
          <w:rFonts w:hint="eastAsia" w:ascii="Times New Roman" w:hAnsi="Times New Roman"/>
          <w:b/>
          <w:bCs/>
          <w:sz w:val="24"/>
        </w:rPr>
        <w:t>附图：</w:t>
      </w:r>
    </w:p>
    <w:p w14:paraId="7A8F47A7">
      <w:pPr>
        <w:spacing w:line="300" w:lineRule="auto"/>
        <w:jc w:val="left"/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1.</w:t>
      </w:r>
      <w:r>
        <w:rPr>
          <w:rFonts w:ascii="Times New Roman" w:hAnsi="Times New Roman"/>
          <w:sz w:val="24"/>
        </w:rPr>
        <w:t>致远楼南侧小广场、西侧道路及绿化带</w:t>
      </w:r>
      <w:r>
        <w:rPr>
          <w:rFonts w:ascii="Times New Roman" w:hAnsi="Times New Roman"/>
          <w:sz w:val="24"/>
        </w:rPr>
        <w:drawing>
          <wp:inline distT="0" distB="0" distL="114300" distR="114300">
            <wp:extent cx="5334000" cy="4000500"/>
            <wp:effectExtent l="0" t="0" r="0" b="0"/>
            <wp:docPr id="9" name="p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0C0A2F7">
      <w:pPr>
        <w:spacing w:line="30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drawing>
          <wp:inline distT="0" distB="0" distL="114300" distR="114300">
            <wp:extent cx="5334000" cy="4000500"/>
            <wp:effectExtent l="0" t="0" r="0" b="0"/>
            <wp:docPr id="1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493E3A5">
      <w:pPr>
        <w:spacing w:line="30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drawing>
          <wp:inline distT="0" distB="0" distL="114300" distR="114300">
            <wp:extent cx="5334000" cy="4000500"/>
            <wp:effectExtent l="0" t="0" r="0" b="0"/>
            <wp:docPr id="1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5E283A0">
      <w:pPr>
        <w:spacing w:line="300" w:lineRule="auto"/>
        <w:jc w:val="center"/>
        <w:rPr>
          <w:rFonts w:ascii="Times New Roman" w:hAnsi="Times New Roman"/>
          <w:sz w:val="24"/>
        </w:rPr>
      </w:pPr>
    </w:p>
    <w:p w14:paraId="1D9326CE">
      <w:pPr>
        <w:spacing w:line="300" w:lineRule="auto"/>
        <w:jc w:val="left"/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2.</w:t>
      </w:r>
      <w:r>
        <w:rPr>
          <w:rFonts w:ascii="Times New Roman" w:hAnsi="Times New Roman"/>
          <w:sz w:val="24"/>
        </w:rPr>
        <w:t>致远楼北侧广场及绿化带：</w:t>
      </w:r>
    </w:p>
    <w:p w14:paraId="361FA90E">
      <w:pPr>
        <w:spacing w:line="30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drawing>
          <wp:inline distT="0" distB="0" distL="114300" distR="114300">
            <wp:extent cx="5334000" cy="4000500"/>
            <wp:effectExtent l="0" t="0" r="0" b="0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455EB37">
      <w:pPr>
        <w:spacing w:line="300" w:lineRule="auto"/>
        <w:rPr>
          <w:rFonts w:ascii="Times New Roman" w:hAnsi="Times New Roman"/>
          <w:sz w:val="24"/>
        </w:rPr>
      </w:pPr>
    </w:p>
    <w:p w14:paraId="10F158F9">
      <w:pPr>
        <w:spacing w:line="300" w:lineRule="auto"/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3.</w:t>
      </w:r>
      <w:r>
        <w:rPr>
          <w:rFonts w:ascii="Times New Roman" w:hAnsi="Times New Roman"/>
          <w:sz w:val="24"/>
        </w:rPr>
        <w:t>沁园工程实验室模型广场：</w:t>
      </w:r>
    </w:p>
    <w:p w14:paraId="4FA35DB3">
      <w:pPr>
        <w:spacing w:line="30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drawing>
          <wp:inline distT="0" distB="0" distL="114300" distR="114300">
            <wp:extent cx="5334000" cy="4000500"/>
            <wp:effectExtent l="0" t="0" r="0" b="0"/>
            <wp:docPr id="1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C89273C">
      <w:pPr>
        <w:spacing w:line="30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drawing>
          <wp:inline distT="0" distB="0" distL="114300" distR="114300">
            <wp:extent cx="5334000" cy="4000500"/>
            <wp:effectExtent l="0" t="0" r="0" b="0"/>
            <wp:docPr id="1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C6FD495">
      <w:pPr>
        <w:spacing w:line="30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drawing>
          <wp:inline distT="0" distB="0" distL="114300" distR="114300">
            <wp:extent cx="5334000" cy="4000500"/>
            <wp:effectExtent l="0" t="0" r="0" b="0"/>
            <wp:docPr id="1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br w:type="textWrapping"/>
      </w:r>
    </w:p>
    <w:p w14:paraId="40BE0A34">
      <w:pPr>
        <w:spacing w:line="300" w:lineRule="auto"/>
        <w:jc w:val="left"/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4.</w:t>
      </w:r>
      <w:r>
        <w:rPr>
          <w:rFonts w:ascii="Times New Roman" w:hAnsi="Times New Roman"/>
          <w:sz w:val="24"/>
        </w:rPr>
        <w:t>沁园体育馆南侧主干道、停车场及绿化带</w:t>
      </w:r>
      <w:r>
        <w:rPr>
          <w:rFonts w:hint="eastAsia" w:ascii="Times New Roman" w:hAnsi="Times New Roman"/>
          <w:sz w:val="24"/>
        </w:rPr>
        <w:t>（</w:t>
      </w:r>
      <w:r>
        <w:rPr>
          <w:rFonts w:ascii="Times New Roman" w:hAnsi="Times New Roman"/>
          <w:sz w:val="24"/>
        </w:rPr>
        <w:t>含停车场南侧草坪</w:t>
      </w:r>
      <w:r>
        <w:rPr>
          <w:rFonts w:hint="eastAsia" w:ascii="Times New Roman" w:hAnsi="Times New Roman"/>
          <w:sz w:val="24"/>
        </w:rPr>
        <w:t>）</w:t>
      </w:r>
      <w:r>
        <w:rPr>
          <w:rFonts w:ascii="Times New Roman" w:hAnsi="Times New Roman"/>
          <w:sz w:val="24"/>
        </w:rPr>
        <w:t>：</w:t>
      </w:r>
    </w:p>
    <w:p w14:paraId="679FC07E">
      <w:pPr>
        <w:spacing w:line="30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drawing>
          <wp:inline distT="0" distB="0" distL="114300" distR="114300">
            <wp:extent cx="5334000" cy="4000500"/>
            <wp:effectExtent l="0" t="0" r="0" b="0"/>
            <wp:docPr id="1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3694182">
      <w:pPr>
        <w:spacing w:line="30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drawing>
          <wp:inline distT="0" distB="0" distL="114300" distR="114300">
            <wp:extent cx="5334000" cy="4000500"/>
            <wp:effectExtent l="0" t="0" r="0" b="0"/>
            <wp:docPr id="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drawing>
          <wp:inline distT="0" distB="0" distL="114300" distR="114300">
            <wp:extent cx="5334000" cy="4000500"/>
            <wp:effectExtent l="0" t="0" r="0" b="0"/>
            <wp:docPr id="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br w:type="textWrapping"/>
      </w:r>
    </w:p>
    <w:p w14:paraId="1A7BB274">
      <w:pPr>
        <w:spacing w:line="300" w:lineRule="auto"/>
        <w:jc w:val="center"/>
        <w:rPr>
          <w:rFonts w:ascii="Times New Roman" w:hAnsi="Times New Roman"/>
          <w:sz w:val="24"/>
        </w:rPr>
      </w:pPr>
    </w:p>
    <w:p w14:paraId="536D6530">
      <w:pPr>
        <w:spacing w:line="300" w:lineRule="auto"/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5.</w:t>
      </w:r>
      <w:r>
        <w:rPr>
          <w:rFonts w:ascii="Times New Roman" w:hAnsi="Times New Roman"/>
          <w:sz w:val="24"/>
        </w:rPr>
        <w:t>沁园体育馆周围道路及绿化带：</w:t>
      </w:r>
    </w:p>
    <w:p w14:paraId="753D6C87">
      <w:pPr>
        <w:spacing w:line="30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drawing>
          <wp:inline distT="0" distB="0" distL="114300" distR="114300">
            <wp:extent cx="5334000" cy="4000500"/>
            <wp:effectExtent l="0" t="0" r="0" b="0"/>
            <wp:docPr id="1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908ED7E">
      <w:pPr>
        <w:spacing w:line="30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drawing>
          <wp:inline distT="0" distB="0" distL="114300" distR="114300">
            <wp:extent cx="5334000" cy="4000500"/>
            <wp:effectExtent l="0" t="0" r="0" b="0"/>
            <wp:docPr id="2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B9D4343">
      <w:pPr>
        <w:spacing w:line="300" w:lineRule="auto"/>
        <w:jc w:val="left"/>
        <w:rPr>
          <w:rFonts w:ascii="Times New Roman" w:hAnsi="Times New Roman"/>
          <w:sz w:val="24"/>
        </w:rPr>
      </w:pPr>
    </w:p>
    <w:p w14:paraId="727BA420">
      <w:pPr>
        <w:spacing w:line="300" w:lineRule="auto"/>
        <w:jc w:val="left"/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6.</w:t>
      </w:r>
      <w:r>
        <w:rPr>
          <w:rFonts w:ascii="Times New Roman" w:hAnsi="Times New Roman"/>
          <w:sz w:val="24"/>
        </w:rPr>
        <w:t>沁园金培中心南侧主干道及绿化带：</w:t>
      </w:r>
    </w:p>
    <w:p w14:paraId="13CF4AC5">
      <w:pPr>
        <w:spacing w:line="30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drawing>
          <wp:inline distT="0" distB="0" distL="114300" distR="114300">
            <wp:extent cx="5334000" cy="4000500"/>
            <wp:effectExtent l="0" t="0" r="0" b="0"/>
            <wp:docPr id="7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644A7C7">
      <w:pPr>
        <w:spacing w:line="30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drawing>
          <wp:inline distT="0" distB="0" distL="114300" distR="114300">
            <wp:extent cx="5334000" cy="4000500"/>
            <wp:effectExtent l="0" t="0" r="0" b="0"/>
            <wp:docPr id="5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6F99912">
      <w:pPr>
        <w:spacing w:line="300" w:lineRule="auto"/>
        <w:rPr>
          <w:rFonts w:ascii="Times New Roman" w:hAnsi="Times New Roman"/>
          <w:sz w:val="24"/>
        </w:rPr>
      </w:pPr>
    </w:p>
    <w:p w14:paraId="5509586D">
      <w:pPr>
        <w:spacing w:line="300" w:lineRule="auto"/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7.</w:t>
      </w:r>
      <w:r>
        <w:rPr>
          <w:rFonts w:ascii="Times New Roman" w:hAnsi="Times New Roman"/>
          <w:sz w:val="24"/>
        </w:rPr>
        <w:t>沁园书院内道路及绿化带：</w:t>
      </w:r>
    </w:p>
    <w:p w14:paraId="64225789">
      <w:pPr>
        <w:spacing w:line="30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drawing>
          <wp:inline distT="0" distB="0" distL="114300" distR="114300">
            <wp:extent cx="5334000" cy="4000500"/>
            <wp:effectExtent l="0" t="0" r="0" b="0"/>
            <wp:docPr id="2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0C212DD">
      <w:pPr>
        <w:spacing w:line="30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drawing>
          <wp:inline distT="0" distB="0" distL="114300" distR="114300">
            <wp:extent cx="5334000" cy="4000500"/>
            <wp:effectExtent l="0" t="0" r="0" b="0"/>
            <wp:docPr id="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B847E99">
      <w:pPr>
        <w:spacing w:line="300" w:lineRule="auto"/>
        <w:rPr>
          <w:rFonts w:ascii="Times New Roman" w:hAnsi="Times New Roman"/>
          <w:sz w:val="24"/>
        </w:rPr>
      </w:pPr>
    </w:p>
    <w:p w14:paraId="3DC4E55D">
      <w:pPr>
        <w:spacing w:line="300" w:lineRule="auto"/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8.</w:t>
      </w:r>
      <w:r>
        <w:rPr>
          <w:rFonts w:ascii="Times New Roman" w:hAnsi="Times New Roman"/>
          <w:sz w:val="24"/>
        </w:rPr>
        <w:t>沁园8幢楼院内道路及绿化带</w:t>
      </w:r>
      <w:r>
        <w:rPr>
          <w:rFonts w:hint="eastAsia" w:ascii="Times New Roman" w:hAnsi="Times New Roman"/>
          <w:sz w:val="24"/>
        </w:rPr>
        <w:t>：</w:t>
      </w:r>
    </w:p>
    <w:p w14:paraId="7BD8AC72">
      <w:pPr>
        <w:spacing w:line="30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drawing>
          <wp:inline distT="0" distB="0" distL="114300" distR="114300">
            <wp:extent cx="5334000" cy="4000500"/>
            <wp:effectExtent l="0" t="0" r="0" b="0"/>
            <wp:docPr id="8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40A8A20">
      <w:pPr>
        <w:spacing w:line="30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drawing>
          <wp:inline distT="0" distB="0" distL="114300" distR="114300">
            <wp:extent cx="5334000" cy="4000500"/>
            <wp:effectExtent l="0" t="0" r="0" b="0"/>
            <wp:docPr id="3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8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6D4"/>
    <w:rsid w:val="000E016B"/>
    <w:rsid w:val="001B103E"/>
    <w:rsid w:val="001F24A8"/>
    <w:rsid w:val="0032324B"/>
    <w:rsid w:val="00485FA6"/>
    <w:rsid w:val="00487687"/>
    <w:rsid w:val="004C29C5"/>
    <w:rsid w:val="004F7BC5"/>
    <w:rsid w:val="008A198C"/>
    <w:rsid w:val="008B39A7"/>
    <w:rsid w:val="009964C1"/>
    <w:rsid w:val="009A6187"/>
    <w:rsid w:val="00B17E70"/>
    <w:rsid w:val="00C624E4"/>
    <w:rsid w:val="00CD76ED"/>
    <w:rsid w:val="00D31F1B"/>
    <w:rsid w:val="00E76E29"/>
    <w:rsid w:val="00E85395"/>
    <w:rsid w:val="00EA36FD"/>
    <w:rsid w:val="00EC32F6"/>
    <w:rsid w:val="00F32FB7"/>
    <w:rsid w:val="00FE16D4"/>
    <w:rsid w:val="039243F9"/>
    <w:rsid w:val="132D46F6"/>
    <w:rsid w:val="22EB13A6"/>
    <w:rsid w:val="25CF3B9E"/>
    <w:rsid w:val="435C3F58"/>
    <w:rsid w:val="4EB9161F"/>
    <w:rsid w:val="66C57913"/>
    <w:rsid w:val="6BA9754D"/>
    <w:rsid w:val="6DC875CE"/>
    <w:rsid w:val="72772003"/>
    <w:rsid w:val="799C2491"/>
  </w:rsids>
  <m:mathPr>
    <m:mathFont m:val="Cambria Math"/>
    <m:brkBin m:val="before"/>
    <m:brkBinSub m:val="--"/>
    <m:smallFrac m:val="1"/>
    <m:dispDef/>
    <m:lMargin m:val="1440"/>
    <m:rMargin m:val="144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uiPriority="99" w:name="Normal Table"/>
    <w:lsdException w:unhideWhenUsed="0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3" Type="http://schemas.openxmlformats.org/officeDocument/2006/relationships/fontTable" Target="fontTable.xml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11</Pages>
  <Words>662</Words>
  <Characters>692</Characters>
  <Lines>5</Lines>
  <Paragraphs>1</Paragraphs>
  <TotalTime>18</TotalTime>
  <ScaleCrop>false</ScaleCrop>
  <LinksUpToDate>false</LinksUpToDate>
  <CharactersWithSpaces>692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2024-10-13T13:00:00Z</dcterms:created>
  <dc:creator>14262</dc:creator>
  <cp:lastModifiedBy>董唤唤</cp:lastModifiedBy>
  <dcterms:modified xsi:type="dcterms:W3CDTF">2025-11-18T01:27:40Z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commondata">
    <vt:lpwstr>eyJoZGlkIjoiYTRiZmFlODRmZjhhNzAzMDhmYzU2YWZkZDdmMjc3NDIifQ==</vt:lpwstr>
  </property>
  <property fmtid="{D5CDD505-2E9C-101B-9397-08002B2CF9AE}" pid="4" name="ICV">
    <vt:lpwstr>25922A65FC164CCD8F4E8C815AB5EDE9_13</vt:lpwstr>
  </property>
</Properties>
</file>